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 xml:space="preserve"> </w:t>
      </w:r>
      <w:r>
        <w:rPr>
          <w:rFonts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信息学院</w:t>
      </w:r>
      <w:r>
        <w:rPr>
          <w:rFonts w:hint="eastAsia"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专业学位</w:t>
      </w:r>
      <w:r>
        <w:rPr>
          <w:rFonts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工程</w:t>
      </w:r>
      <w:r>
        <w:rPr>
          <w:rFonts w:hint="eastAsia"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硕士研究生答辩工作安排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 xml:space="preserve">  （</w:t>
      </w:r>
      <w:r>
        <w:rPr>
          <w:rFonts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2018-2019</w:t>
      </w:r>
      <w:r>
        <w:rPr>
          <w:rFonts w:hint="eastAsia"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学年第二学期）</w:t>
      </w:r>
    </w:p>
    <w:p>
      <w:pPr>
        <w:keepNext w:val="0"/>
        <w:keepLines w:val="0"/>
        <w:widowControl/>
        <w:suppressLineNumbers w:val="0"/>
        <w:shd w:val="clear" w:color="auto" w:fill="FFFFFF"/>
        <w:ind w:left="0" w:firstLine="0"/>
        <w:jc w:val="center"/>
        <w:rPr>
          <w:rFonts w:hint="eastAsia" w:ascii="黑体" w:hAnsi="宋体" w:eastAsia="黑体" w:cs="黑体"/>
          <w:b/>
          <w:i w:val="0"/>
          <w:caps w:val="0"/>
          <w:color w:val="222222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>
      <w:pPr>
        <w:widowControl/>
        <w:ind w:firstLine="241" w:firstLineChars="1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注：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请准备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  <w:lang w:val="en-US" w:eastAsia="zh-CN"/>
        </w:rPr>
        <w:t>本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学期答辩的同学将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“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姓名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学号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邮箱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电话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，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导师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”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发到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  <w:lang w:val="en-US" w:eastAsia="zh-CN"/>
        </w:rPr>
        <w:t>2014103596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  <w:t>@ruc.edu.cn</w:t>
      </w:r>
    </w:p>
    <w:p>
      <w:pPr>
        <w:widowControl/>
        <w:ind w:firstLine="241" w:firstLineChars="1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yellow"/>
        </w:rPr>
      </w:pPr>
    </w:p>
    <w:tbl>
      <w:tblPr>
        <w:tblStyle w:val="7"/>
        <w:tblW w:w="12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140"/>
        <w:gridCol w:w="4290"/>
        <w:gridCol w:w="5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82" w:firstLineChars="200"/>
              <w:jc w:val="both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具体要求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之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前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确认完成培养计划,填写《培养材料登记表》一式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两份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贴一寸照片，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导师签署意见后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纸质版交给教务秘书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信息楼253办公室吴老师收）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从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portal.ruc.edu.cn/ypy下载各自培养材料登记表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vMerge w:val="continue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提交论文定稿给导师审阅并同意答辩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进portal.ruc.edu.cn/ypy个人系统提交答辩申请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下载填写打印《答辩申请书》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论文独创性声明找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导师签字，纸质版交给教务秘书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学院要求论文文献参考30篇以上，其中中文文献不低于二十篇，英文文献不低于10篇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708" w:type="dxa"/>
            <w:vMerge w:val="continue"/>
            <w:tcBorders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导师审核学位论文，填写答辩推荐意见；导师对学位论文质量负有主要责任，学位论文不符合答辩要求，导师不可填写推荐意见。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之前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instrText xml:space="preserve"> HYPERLINK "mailto:提交准备重复率检测的论文电子版。发到邮箱2014103596@ruc.edu.cn"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提交论文电子版查重。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发到</w:t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2014103596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@ruc.edu.cn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（邮件和论文命名为：姓名+学号+论文题目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建议提交论文前确认论文重复率不超过10%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电子论文重复率检测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电子论文重复率检测结果说明：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对软件检测重复率在30%以上的学位论文，责成修改，本学期不予推荐答辩；对重复率在10%以上，30%以下的论文，应视不同情况修改论文，修改合格后方可列入答辩计划库。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4月1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具体时间待定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完成预答辩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根据工程硕士的研究方向和论文内容聘请本学科（及相关学科）的导师3～5人（校内、校外不限）组成预答辩委员会。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预答辩通过方可进入下一阶段，预答辩未通过者，根据预答辩委员会意见，修改论文或延期答辩。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学生，导师，学院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日之前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教务秘书提交学院答辩计划，上报答辩名单。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学院。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逾期不接收答辩计划库之外的人员申请学位；已列入答辩计划库的人员，在规定时间内不得无故中止答辩。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4月15日前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交评阅论文电子版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按照中国人民大学论文格式要求排版，格式不符合要求的，评阅人有可能拒绝评阅；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instrText xml:space="preserve"> HYPERLINK "mailto:发到邮箱2014103596@ruc.edu.cn"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发到邮箱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2014103596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@ruc.edu.cn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fldChar w:fldCharType="end"/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（邮件和论文命名为：评阅+姓名+学号+论文题目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论文格式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参阅研究生手册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确定评阅及答辩委员名单，填写《答辩委员会组成审核表》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评阅人要求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、学位论文评阅人组成不少于两人，由高等学校或科研机构教授或副教授（或相当职称的专家）注</w:t>
            </w:r>
            <w:r>
              <w:rPr>
                <w:rFonts w:hint="eastAsia" w:ascii="宋体" w:hAnsi="宋体" w:cs="宋体"/>
                <w:color w:val="000000"/>
              </w:rPr>
              <w:t>担任，指导教师不能作为论文评阅人；</w:t>
            </w:r>
          </w:p>
          <w:p>
            <w:pPr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、具有博士学位的我校讲师可担任硕士论文评阅人，但人数不超过论文评阅人总数的</w:t>
            </w:r>
            <w:r>
              <w:rPr>
                <w:rFonts w:ascii="宋体" w:hAnsi="宋体" w:cs="宋体"/>
                <w:color w:val="000000"/>
              </w:rPr>
              <w:t>1/2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、学位论文评阅未通过，可修改论文半年后再次申请答辩。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答辩委员</w:t>
            </w:r>
            <w:r>
              <w:rPr>
                <w:rFonts w:hint="eastAsia" w:ascii="宋体" w:hAnsi="宋体" w:cs="宋体"/>
                <w:color w:val="000000"/>
              </w:rPr>
              <w:t>要求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、专业学位硕士论文答辩委员会成员不少于四人，由教授或副教授（或相当职称的专家</w:t>
            </w:r>
            <w:r>
              <w:rPr>
                <w:rFonts w:hint="eastAsia" w:ascii="宋体" w:hAnsi="宋体" w:cs="Times New Roman"/>
                <w:color w:val="FF0000"/>
                <w:sz w:val="28"/>
                <w:vertAlign w:val="superscript"/>
              </w:rPr>
              <w:t>注</w:t>
            </w:r>
            <w:r>
              <w:rPr>
                <w:rFonts w:hint="eastAsia" w:ascii="宋体" w:hAnsi="宋体" w:cs="宋体"/>
                <w:color w:val="000000"/>
              </w:rPr>
              <w:t>）担任；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、我校具有博士学位的讲师可担任硕士论文答辩委员，但人数不超过答辩委员会成员总数的</w:t>
            </w:r>
            <w:r>
              <w:rPr>
                <w:rFonts w:ascii="宋体" w:hAnsi="宋体" w:cs="宋体"/>
                <w:color w:val="000000"/>
              </w:rPr>
              <w:t>1/2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、答辩委员会主席应由具有硕士生导师资格的副教授以上（含副教授）职称的专家担任；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、论文评阅人至多有一人可作为答辩委员会成员；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、指导教师不能担任所指导硕士生的学位论文答辩委员会委员，但可列席硕士学位论文答辩会；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hint="eastAsia" w:ascii="宋体" w:hAnsi="宋体" w:cs="宋体"/>
                <w:color w:val="000000"/>
              </w:rPr>
              <w:t>、答辩委员会应按规定的程序开展。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之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送论文评阅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评阅结果符合以下条件的，可进入答辩阶段：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评阅专家的评阅得分均在</w:t>
            </w:r>
            <w:r>
              <w:rPr>
                <w:rFonts w:hint="eastAsia" w:ascii="宋体" w:hAnsi="宋体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70分</w:t>
            </w: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②论文无抄袭、作假现象，无有损学术道德和学术规范。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准备论文答辩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从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打印《答辩决议》（一式两份）、《记录封面》一份，准备答辩PPT、答辩时自备笔记本电脑； 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日之前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评阅书返回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收集整理评阅书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给学生发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评阅书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学生根据评阅书修改论文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答辩前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给论文打印处发论文电子版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答辩前三天之内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答辩前准备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发答辩须知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开答辩前布置会；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准备答辩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（具体日期待定）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答辩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答辩当天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提前布置会场；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现场携带：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交1张2寸彩色证件照，蓝色衬底、不要红色衣服；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（学位证使用）、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答辩决议（一式两份）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答辩记录封面一份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交给答辩秘书；</w:t>
            </w:r>
          </w:p>
          <w:p>
            <w:pPr>
              <w:widowControl/>
              <w:ind w:hanging="36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笔笔记本电脑，PPT；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答辩结束后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整理材料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1.整理答辩记录， 6页左右；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.填写存档材料，卷内文件目录涉及的内容，除“授予学位决定”还没有之外，其他材料按目录顺序排列，并在目录上填写文件日期，上下信息填全，交回；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提交论文：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电子版提交地址：</w:t>
            </w:r>
            <w:r>
              <w:fldChar w:fldCharType="begin"/>
            </w:r>
            <w:r>
              <w:instrText xml:space="preserve"> HYPERLINK "http://www.lib.ruc.edu.cn/"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http://www.lib.ruc.edu.cn（中国人民大学图书馆）；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2.存档论文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发到邮箱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T62514272@163.com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论文打印处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答辩通过的同学在系统http://portal.ruc.edu.cn/ypy里面点开“论文答辩——学位信息上报——核对查看所有个人信息无误后点击提交（尤其是照片，务必和你们提交的纸质版照片版本保持一致）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学期结束前</w:t>
            </w:r>
          </w:p>
        </w:tc>
        <w:tc>
          <w:tcPr>
            <w:tcW w:w="1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2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待学院学位委员会和学校学位委员会通过后，颁发硕士学位证书</w:t>
            </w:r>
          </w:p>
        </w:tc>
        <w:tc>
          <w:tcPr>
            <w:tcW w:w="53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特别提示：</w:t>
      </w:r>
    </w:p>
    <w:p>
      <w:pPr>
        <w:widowControl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1、系统填写论文题目后不得做更改，请各位同学引起重视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!</w:t>
      </w:r>
    </w:p>
    <w:p>
      <w:pPr>
        <w:widowControl/>
        <w:jc w:val="left"/>
        <w:rPr>
          <w:rFonts w:ascii="宋体" w:hAnsi="宋体" w:eastAsia="宋体" w:cs="宋体"/>
          <w:b w:val="0"/>
          <w:bCs w:val="0"/>
          <w:color w:val="FF0000"/>
          <w:kern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2、</w:t>
      </w:r>
      <w:r>
        <w:rPr>
          <w:rFonts w:ascii="宋体" w:hAnsi="宋体" w:eastAsia="宋体" w:cs="宋体"/>
          <w:b w:val="0"/>
          <w:bCs w:val="0"/>
          <w:color w:val="FF0000"/>
          <w:kern w:val="0"/>
          <w:sz w:val="24"/>
          <w:szCs w:val="24"/>
        </w:rPr>
        <w:t>逾期不接收答辩计划库之外的人员申请学位；已列入答辩计划库的人员，在规定时间内不得无故中止答辩。</w:t>
      </w:r>
    </w:p>
    <w:p>
      <w:pPr>
        <w:widowControl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3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、硕士学位论文正文应与中外文摘要合订在一起。装订顺序为：封面、扉页、声明、中文摘要、外文摘要、目录、正文。</w:t>
      </w:r>
    </w:p>
    <w:p>
      <w:pPr>
        <w:widowControl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4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、图书馆所需的硕士学位论文电子版实行网上提交，提交的地址：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fldChar w:fldCharType="begin"/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instrText xml:space="preserve"> HYPERLINK "http://www.lib.ruc.edu.cn/(中国人民大学图书馆网址" </w:instrTex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fldChar w:fldCharType="separate"/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http://www.lib.ruc.edu.cn/。提交成功后将收到提交回执，不在网上提交学位论文电子版的人员，学校将不予办理离校手续。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fldChar w:fldCharType="end"/>
      </w:r>
    </w:p>
    <w:p>
      <w:pPr>
        <w:widowControl/>
        <w:jc w:val="lef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</w:p>
    <w:p>
      <w:pPr>
        <w:widowControl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吴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老师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      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联系电话：62511256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地址：信息楼253办公室</w:t>
      </w:r>
    </w:p>
    <w:p>
      <w:pPr>
        <w:widowControl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widowControl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信息学院</w:t>
      </w:r>
    </w:p>
    <w:p>
      <w:pPr>
        <w:widowControl/>
        <w:jc w:val="right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 w:val="0"/>
          <w:bCs w:val="0"/>
          <w:kern w:val="0"/>
          <w:sz w:val="24"/>
          <w:szCs w:val="24"/>
        </w:rPr>
        <w:t>月18日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B69E68"/>
    <w:multiLevelType w:val="singleLevel"/>
    <w:tmpl w:val="B6B69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1C4567"/>
    <w:multiLevelType w:val="multilevel"/>
    <w:tmpl w:val="3F1C4567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E6"/>
    <w:rsid w:val="00093A6A"/>
    <w:rsid w:val="00155031"/>
    <w:rsid w:val="001B5BDB"/>
    <w:rsid w:val="00201639"/>
    <w:rsid w:val="00203600"/>
    <w:rsid w:val="0021534A"/>
    <w:rsid w:val="0025716D"/>
    <w:rsid w:val="002B7EAF"/>
    <w:rsid w:val="00305D03"/>
    <w:rsid w:val="00311282"/>
    <w:rsid w:val="00375EDF"/>
    <w:rsid w:val="00390CD3"/>
    <w:rsid w:val="004302B9"/>
    <w:rsid w:val="004411ED"/>
    <w:rsid w:val="0048047E"/>
    <w:rsid w:val="004C3B42"/>
    <w:rsid w:val="006D3A31"/>
    <w:rsid w:val="00734ECE"/>
    <w:rsid w:val="007A20A5"/>
    <w:rsid w:val="008534E5"/>
    <w:rsid w:val="00857A08"/>
    <w:rsid w:val="00864CA0"/>
    <w:rsid w:val="00926387"/>
    <w:rsid w:val="0097045A"/>
    <w:rsid w:val="00970CE6"/>
    <w:rsid w:val="00980615"/>
    <w:rsid w:val="00A65577"/>
    <w:rsid w:val="00B00E33"/>
    <w:rsid w:val="00B15771"/>
    <w:rsid w:val="00B23EC6"/>
    <w:rsid w:val="00C52DAF"/>
    <w:rsid w:val="00C648FD"/>
    <w:rsid w:val="00C678AB"/>
    <w:rsid w:val="00D11F96"/>
    <w:rsid w:val="00DB38C4"/>
    <w:rsid w:val="00DB3EC5"/>
    <w:rsid w:val="00DE76B5"/>
    <w:rsid w:val="00ED2476"/>
    <w:rsid w:val="00F019CB"/>
    <w:rsid w:val="00F56709"/>
    <w:rsid w:val="00FA3366"/>
    <w:rsid w:val="00FB651C"/>
    <w:rsid w:val="02432235"/>
    <w:rsid w:val="03A41096"/>
    <w:rsid w:val="04395ADB"/>
    <w:rsid w:val="062F4882"/>
    <w:rsid w:val="07246AF5"/>
    <w:rsid w:val="07927E57"/>
    <w:rsid w:val="080F137D"/>
    <w:rsid w:val="0A9D4A70"/>
    <w:rsid w:val="0C9760D9"/>
    <w:rsid w:val="0DB5240E"/>
    <w:rsid w:val="0E4A5985"/>
    <w:rsid w:val="0E8C1298"/>
    <w:rsid w:val="10B84C56"/>
    <w:rsid w:val="11F329E7"/>
    <w:rsid w:val="190F6BFC"/>
    <w:rsid w:val="19957A52"/>
    <w:rsid w:val="1A751E0F"/>
    <w:rsid w:val="1C4D3B89"/>
    <w:rsid w:val="20C02CCC"/>
    <w:rsid w:val="2372101C"/>
    <w:rsid w:val="238A0BEB"/>
    <w:rsid w:val="242C514F"/>
    <w:rsid w:val="264A63BC"/>
    <w:rsid w:val="26AF5DB9"/>
    <w:rsid w:val="270B093F"/>
    <w:rsid w:val="2ABE79EF"/>
    <w:rsid w:val="2C7B0FFD"/>
    <w:rsid w:val="2E53116E"/>
    <w:rsid w:val="312F4E78"/>
    <w:rsid w:val="31F26EAE"/>
    <w:rsid w:val="324A1589"/>
    <w:rsid w:val="32920214"/>
    <w:rsid w:val="34A8500F"/>
    <w:rsid w:val="365C110C"/>
    <w:rsid w:val="39B814FE"/>
    <w:rsid w:val="3A737817"/>
    <w:rsid w:val="3CBE19D2"/>
    <w:rsid w:val="3E3B073E"/>
    <w:rsid w:val="3F784526"/>
    <w:rsid w:val="41EB6327"/>
    <w:rsid w:val="42C2293E"/>
    <w:rsid w:val="432C3F70"/>
    <w:rsid w:val="44556A90"/>
    <w:rsid w:val="448B4152"/>
    <w:rsid w:val="458C37F6"/>
    <w:rsid w:val="4616741F"/>
    <w:rsid w:val="519303A2"/>
    <w:rsid w:val="55953C72"/>
    <w:rsid w:val="55A73F43"/>
    <w:rsid w:val="59BE0597"/>
    <w:rsid w:val="5A7154FC"/>
    <w:rsid w:val="5BEA4145"/>
    <w:rsid w:val="5E3E5E3A"/>
    <w:rsid w:val="616F31EC"/>
    <w:rsid w:val="61EC5B4C"/>
    <w:rsid w:val="625C46C0"/>
    <w:rsid w:val="6390117E"/>
    <w:rsid w:val="63B37980"/>
    <w:rsid w:val="6422324A"/>
    <w:rsid w:val="64564F48"/>
    <w:rsid w:val="68400C59"/>
    <w:rsid w:val="68543234"/>
    <w:rsid w:val="6DBE309D"/>
    <w:rsid w:val="6EEB7313"/>
    <w:rsid w:val="6FA40FD1"/>
    <w:rsid w:val="700733B7"/>
    <w:rsid w:val="791321ED"/>
    <w:rsid w:val="7A6D5A89"/>
    <w:rsid w:val="7A873696"/>
    <w:rsid w:val="7A875756"/>
    <w:rsid w:val="7AE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359</Words>
  <Characters>2051</Characters>
  <Lines>17</Lines>
  <Paragraphs>4</Paragraphs>
  <TotalTime>16</TotalTime>
  <ScaleCrop>false</ScaleCrop>
  <LinksUpToDate>false</LinksUpToDate>
  <CharactersWithSpaces>2406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2018-01-18T02:17:00Z</dcterms:created>
  <dc:creator>hp</dc:creator>
  <cp:lastModifiedBy>青争青争</cp:lastModifiedBy>
  <cp:lastPrinted>2019-02-18T01:58:00Z</cp:lastPrinted>
  <dcterms:modified xsi:type="dcterms:W3CDTF">2019-02-18T05:51:34Z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